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85530" w14:textId="77777777" w:rsidR="00DA2844" w:rsidRPr="00797DD7" w:rsidRDefault="00DA2844" w:rsidP="00DA2844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loai_1"/>
      <w:bookmarkStart w:id="1" w:name="_GoBack"/>
      <w:bookmarkEnd w:id="1"/>
      <w:r w:rsidRPr="00797DD7">
        <w:rPr>
          <w:rFonts w:ascii="Arial" w:hAnsi="Arial" w:cs="Arial"/>
          <w:b/>
          <w:bCs/>
          <w:sz w:val="20"/>
          <w:szCs w:val="20"/>
        </w:rPr>
        <w:t>TIÊU CHUẨN VIỆT NAM</w:t>
      </w:r>
      <w:bookmarkEnd w:id="0"/>
    </w:p>
    <w:p w14:paraId="046907C7" w14:textId="77777777" w:rsidR="00F00E17" w:rsidRPr="00797DD7" w:rsidRDefault="00DA2844" w:rsidP="00DA2844">
      <w:pPr>
        <w:pStyle w:val="Header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loai_1_name"/>
      <w:r w:rsidRPr="00797DD7">
        <w:rPr>
          <w:rFonts w:ascii="Arial" w:hAnsi="Arial" w:cs="Arial"/>
          <w:b/>
          <w:bCs/>
          <w:sz w:val="20"/>
          <w:szCs w:val="20"/>
        </w:rPr>
        <w:t>TCVN 4058:</w:t>
      </w:r>
      <w:r w:rsidR="00F00E17" w:rsidRPr="00797DD7">
        <w:rPr>
          <w:rFonts w:ascii="Arial" w:hAnsi="Arial" w:cs="Arial"/>
          <w:b/>
          <w:bCs/>
          <w:sz w:val="20"/>
          <w:szCs w:val="20"/>
        </w:rPr>
        <w:t>1985</w:t>
      </w:r>
      <w:bookmarkEnd w:id="2"/>
    </w:p>
    <w:p w14:paraId="4C5C2200" w14:textId="77777777" w:rsidR="00DE1116" w:rsidRPr="00797DD7" w:rsidRDefault="00F00E17" w:rsidP="00DA2844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loai_1_name_name"/>
      <w:r w:rsidRPr="00797DD7">
        <w:rPr>
          <w:rFonts w:ascii="Arial" w:hAnsi="Arial" w:cs="Arial"/>
          <w:b/>
          <w:bCs/>
          <w:sz w:val="20"/>
          <w:szCs w:val="20"/>
        </w:rPr>
        <w:t>HỆ THỐNG CHỈ TIÊU CHẤT LƯỢNG SẢN PHẨM XÂY DỰNG - SẢN PHẨM VÀ KẾT CẤU BẰNG BÊ TÔNG VÀ BÊ TÔNG CỐT THÉP - DANH MỤC CHỈ TIÊU</w:t>
      </w:r>
      <w:bookmarkEnd w:id="3"/>
    </w:p>
    <w:p w14:paraId="3EDDDF15" w14:textId="77777777" w:rsidR="00797DD7" w:rsidRPr="00797DD7" w:rsidRDefault="00797DD7" w:rsidP="00DA2844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91497F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sz w:val="20"/>
          <w:szCs w:val="20"/>
        </w:rPr>
        <w:t>Tiêu chuẩn này áp dụng đối với sản phẩm và kết cấu bằng bê tông, bê tông cốt thép ( trừ loại chịu nóng) dùng để xây dựng các loại nhà và công trình. Tiêu chuẩn quy định danh mục các chỉ tiêu chất l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ợng để: Xây dựng các văn bản tiêu chuẩn ; Chọn ph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 xml:space="preserve">ơng án tối 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u của các sản phẩm và kết cấu mới; Chứng nhận sản phẩm, dự báo và lập kế hoạch nâng cao chất l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ợng sản phẩm và kết cấu. Xây dựng hệ thống quản lý chất l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ợng. Báo cáo và thông tin chất l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ợng sản phẩm. Tiêu chuẩn này phù hợp với tiêu chuẩn : "Hệ thống chỉ tiêu chất l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ợng sản phẩm xây dựng. Nguyên tắc cơ bản " TCVN 4057: 85. Trị số của các chỉ tiêu chất l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ợng đ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ợc xác định theo các ph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 xml:space="preserve">ơng pháp quy định trong những văn bản tiêu chuẩn đối với từng sản phẩm và kết cấu cụ thể. </w:t>
      </w:r>
    </w:p>
    <w:p w14:paraId="31BD4B67" w14:textId="77777777" w:rsidR="00DE1116" w:rsidRPr="00797DD7" w:rsidRDefault="00DE1116" w:rsidP="00DA2844">
      <w:pPr>
        <w:spacing w:after="120"/>
        <w:rPr>
          <w:rFonts w:ascii="Arial" w:hAnsi="Arial" w:cs="Arial"/>
          <w:b/>
          <w:sz w:val="20"/>
          <w:szCs w:val="20"/>
        </w:rPr>
      </w:pPr>
      <w:bookmarkStart w:id="4" w:name="dieu_1"/>
      <w:r w:rsidRPr="00797DD7">
        <w:rPr>
          <w:rFonts w:ascii="Arial" w:hAnsi="Arial" w:cs="Arial"/>
          <w:b/>
          <w:sz w:val="20"/>
          <w:szCs w:val="20"/>
        </w:rPr>
        <w:t>1.</w:t>
      </w:r>
      <w:r w:rsidR="00C930D2" w:rsidRPr="00797DD7">
        <w:rPr>
          <w:rFonts w:ascii="Arial" w:hAnsi="Arial" w:cs="Arial"/>
          <w:b/>
          <w:sz w:val="20"/>
          <w:szCs w:val="20"/>
        </w:rPr>
        <w:t xml:space="preserve"> </w:t>
      </w:r>
      <w:r w:rsidRPr="00797DD7">
        <w:rPr>
          <w:rFonts w:ascii="Arial" w:hAnsi="Arial" w:cs="Arial"/>
          <w:b/>
          <w:sz w:val="20"/>
          <w:szCs w:val="20"/>
        </w:rPr>
        <w:t>Danh mục chỉ tiêu chất l</w:t>
      </w:r>
      <w:r w:rsidR="00F00E17" w:rsidRPr="00797DD7">
        <w:rPr>
          <w:rFonts w:ascii="Arial" w:hAnsi="Arial" w:cs="Arial"/>
          <w:b/>
          <w:sz w:val="20"/>
          <w:szCs w:val="20"/>
        </w:rPr>
        <w:t>ư</w:t>
      </w:r>
      <w:r w:rsidRPr="00797DD7">
        <w:rPr>
          <w:rFonts w:ascii="Arial" w:hAnsi="Arial" w:cs="Arial"/>
          <w:b/>
          <w:sz w:val="20"/>
          <w:szCs w:val="20"/>
        </w:rPr>
        <w:t>ợng.</w:t>
      </w:r>
      <w:bookmarkEnd w:id="4"/>
      <w:r w:rsidRPr="00797DD7">
        <w:rPr>
          <w:rFonts w:ascii="Arial" w:hAnsi="Arial" w:cs="Arial"/>
          <w:b/>
          <w:sz w:val="20"/>
          <w:szCs w:val="20"/>
        </w:rPr>
        <w:t xml:space="preserve"> </w:t>
      </w:r>
    </w:p>
    <w:p w14:paraId="46028616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sz w:val="20"/>
          <w:szCs w:val="20"/>
        </w:rPr>
        <w:t>1.1. Danh mục chỉ tiêu chất l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 xml:space="preserve">ợng theo các tiêu chuẩn , đơn vị đo và kí hiệu quy 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ớc đ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 xml:space="preserve">ợc quy định trong bảng 1. </w:t>
      </w:r>
    </w:p>
    <w:p w14:paraId="69DEC166" w14:textId="77777777" w:rsidR="00DE1116" w:rsidRPr="00797DD7" w:rsidRDefault="00DE1116" w:rsidP="00DA2844">
      <w:pPr>
        <w:spacing w:after="120"/>
        <w:rPr>
          <w:rFonts w:ascii="Arial" w:hAnsi="Arial" w:cs="Arial"/>
          <w:b/>
          <w:sz w:val="20"/>
          <w:szCs w:val="20"/>
        </w:rPr>
      </w:pPr>
      <w:bookmarkStart w:id="5" w:name="dieu_2"/>
      <w:r w:rsidRPr="00797DD7">
        <w:rPr>
          <w:rFonts w:ascii="Arial" w:hAnsi="Arial" w:cs="Arial"/>
          <w:b/>
          <w:sz w:val="20"/>
          <w:szCs w:val="20"/>
        </w:rPr>
        <w:t>2.</w:t>
      </w:r>
      <w:r w:rsidR="00C930D2" w:rsidRPr="00797DD7">
        <w:rPr>
          <w:rFonts w:ascii="Arial" w:hAnsi="Arial" w:cs="Arial"/>
          <w:b/>
          <w:sz w:val="20"/>
          <w:szCs w:val="20"/>
        </w:rPr>
        <w:t xml:space="preserve"> </w:t>
      </w:r>
      <w:r w:rsidRPr="00797DD7">
        <w:rPr>
          <w:rFonts w:ascii="Arial" w:hAnsi="Arial" w:cs="Arial"/>
          <w:b/>
          <w:sz w:val="20"/>
          <w:szCs w:val="20"/>
        </w:rPr>
        <w:t>Phạm vi áp dụng các chỉ tiêu chất l</w:t>
      </w:r>
      <w:r w:rsidR="00F00E17" w:rsidRPr="00797DD7">
        <w:rPr>
          <w:rFonts w:ascii="Arial" w:hAnsi="Arial" w:cs="Arial"/>
          <w:b/>
          <w:sz w:val="20"/>
          <w:szCs w:val="20"/>
        </w:rPr>
        <w:t>ư</w:t>
      </w:r>
      <w:r w:rsidRPr="00797DD7">
        <w:rPr>
          <w:rFonts w:ascii="Arial" w:hAnsi="Arial" w:cs="Arial"/>
          <w:b/>
          <w:sz w:val="20"/>
          <w:szCs w:val="20"/>
        </w:rPr>
        <w:t>ợng.</w:t>
      </w:r>
      <w:bookmarkEnd w:id="5"/>
      <w:r w:rsidRPr="00797DD7">
        <w:rPr>
          <w:rFonts w:ascii="Arial" w:hAnsi="Arial" w:cs="Arial"/>
          <w:b/>
          <w:sz w:val="20"/>
          <w:szCs w:val="20"/>
        </w:rPr>
        <w:t xml:space="preserve"> </w:t>
      </w:r>
    </w:p>
    <w:p w14:paraId="21AE43DE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sz w:val="20"/>
          <w:szCs w:val="20"/>
        </w:rPr>
        <w:t>Phạm vi áp dụng các tiêu chuẩn chất l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ợng sản phẩm và kết cấu bằng bê tông, bê tông cốt thép theo tiêu chuẩn "Hệ thống chỉ tiêu chất l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 xml:space="preserve">ợng sản phẩm xây dựng. Nguyên tắc cơ bản. TCVN 4057:85". </w:t>
      </w:r>
    </w:p>
    <w:p w14:paraId="356E5F03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sz w:val="20"/>
          <w:szCs w:val="20"/>
        </w:rPr>
        <w:t>Theo phạm vi áp dụng các chỉ tiêu chất l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ợng về tiêu chuẩn trình độ kĩ thuật, sản phẩm và kết cấu bằng bê tông, bê tông cốt thép đ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 xml:space="preserve">ợc chia thành các nhóm sau: </w:t>
      </w:r>
    </w:p>
    <w:p w14:paraId="663FB4E1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sz w:val="20"/>
          <w:szCs w:val="20"/>
        </w:rPr>
        <w:t>-Sản phẩm và kết cấu nhà;</w:t>
      </w:r>
    </w:p>
    <w:p w14:paraId="350AFDD2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sz w:val="20"/>
          <w:szCs w:val="20"/>
        </w:rPr>
        <w:t>-Sản phẩm và kết cấu các công trình kỹ thuật công nghiệp;</w:t>
      </w:r>
    </w:p>
    <w:p w14:paraId="01B83237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sz w:val="20"/>
          <w:szCs w:val="20"/>
        </w:rPr>
        <w:t>-Sản phẩm và kết cấu các công trình giao thông, năng l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 xml:space="preserve">ợng và thông tin liên lạc; </w:t>
      </w:r>
    </w:p>
    <w:p w14:paraId="126B220E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sz w:val="20"/>
          <w:szCs w:val="20"/>
        </w:rPr>
        <w:t>-Sản phẩm và kết cấu các công trình thuỷ lợi và cải tạo đất.</w:t>
      </w:r>
    </w:p>
    <w:p w14:paraId="33061DCC" w14:textId="77777777" w:rsidR="00F00E17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sz w:val="20"/>
          <w:szCs w:val="20"/>
        </w:rPr>
        <w:t>Các chỉ tiêu chất l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ợng và các kí hiệu trong mục: 1.1.1; 1.1.2; 1.1.4; 1.1.8; 1.2.6; 1.2.7; 1.2.9; 1.2.15; đến 1.2.22; 1.4.1; 1.5.1 của bảng 1 cần áp dụng khi xây dựng văn bản tiêu chuẩn đối với tất cả các loại sản phẩm và kết cấu.</w:t>
      </w:r>
    </w:p>
    <w:p w14:paraId="0CB1FA1F" w14:textId="77777777" w:rsidR="00F00E17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sz w:val="20"/>
          <w:szCs w:val="20"/>
        </w:rPr>
        <w:t>Phạm vi áp dụng các chỉ tiêu chất l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ợng còn lại phụ thuộc vào chức năng, nhiệm vụ của sản phẩm và kết cấu đ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ợc quy định trong các bảng từ bảng 2 đến bảng 4.</w:t>
      </w:r>
    </w:p>
    <w:p w14:paraId="22D53707" w14:textId="77777777" w:rsidR="00F00E17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sz w:val="20"/>
          <w:szCs w:val="20"/>
        </w:rPr>
        <w:t>Các chỉ tiêu chất l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ợng đối với những sản phẩm và kết cấu không có trong bảng trên đ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>ợc áp dụng nh</w:t>
      </w:r>
      <w:r w:rsidR="00F00E17" w:rsidRPr="00797DD7">
        <w:rPr>
          <w:rFonts w:ascii="Arial" w:hAnsi="Arial" w:cs="Arial"/>
          <w:sz w:val="20"/>
          <w:szCs w:val="20"/>
        </w:rPr>
        <w:t>ư</w:t>
      </w:r>
      <w:r w:rsidRPr="00797DD7">
        <w:rPr>
          <w:rFonts w:ascii="Arial" w:hAnsi="Arial" w:cs="Arial"/>
          <w:sz w:val="20"/>
          <w:szCs w:val="20"/>
        </w:rPr>
        <w:t xml:space="preserve"> những sản phẩm và kết cấu có cùng chức năng nhiệm vụ.</w:t>
      </w:r>
    </w:p>
    <w:p w14:paraId="68ACD11F" w14:textId="77777777" w:rsidR="00F00E17" w:rsidRPr="00797DD7" w:rsidRDefault="00F00E17" w:rsidP="00DA2844">
      <w:pPr>
        <w:spacing w:after="120"/>
        <w:rPr>
          <w:rFonts w:ascii="Arial" w:hAnsi="Arial" w:cs="Arial"/>
          <w:sz w:val="20"/>
          <w:szCs w:val="20"/>
        </w:rPr>
      </w:pPr>
    </w:p>
    <w:p w14:paraId="48DF7A56" w14:textId="77777777" w:rsidR="00DE1116" w:rsidRPr="00797DD7" w:rsidRDefault="00DE1116" w:rsidP="00DA2844">
      <w:pPr>
        <w:spacing w:after="120"/>
        <w:rPr>
          <w:rFonts w:ascii="Arial" w:hAnsi="Arial" w:cs="Arial"/>
          <w:b/>
          <w:sz w:val="20"/>
          <w:szCs w:val="20"/>
        </w:rPr>
      </w:pPr>
      <w:r w:rsidRPr="00797DD7">
        <w:rPr>
          <w:rFonts w:ascii="Arial" w:hAnsi="Arial" w:cs="Arial"/>
          <w:b/>
          <w:sz w:val="20"/>
          <w:szCs w:val="20"/>
        </w:rPr>
        <w:t>Bảng 1</w:t>
      </w:r>
    </w:p>
    <w:p w14:paraId="40651A8C" w14:textId="0545EC03" w:rsidR="00DE1116" w:rsidRPr="00797DD7" w:rsidRDefault="00601F83" w:rsidP="00DA2844">
      <w:pPr>
        <w:spacing w:after="120"/>
        <w:rPr>
          <w:rFonts w:ascii="Arial" w:hAnsi="Arial" w:cs="Arial"/>
          <w:sz w:val="20"/>
          <w:szCs w:val="20"/>
        </w:rPr>
        <w:sectPr w:rsidR="00DE1116" w:rsidRPr="00797DD7" w:rsidSect="00A02542">
          <w:pgSz w:w="11907" w:h="16840" w:code="9"/>
          <w:pgMar w:top="1440" w:right="1440" w:bottom="1440" w:left="1440" w:header="720" w:footer="720" w:gutter="0"/>
          <w:cols w:space="720"/>
          <w:docGrid w:linePitch="326"/>
        </w:sectPr>
      </w:pPr>
      <w:r w:rsidRPr="00797DD7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2D2C835A" wp14:editId="0FC4A04A">
            <wp:extent cx="5859780" cy="7620000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83685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</w:p>
    <w:p w14:paraId="13102EA3" w14:textId="77777777" w:rsidR="00DE1116" w:rsidRPr="00797DD7" w:rsidRDefault="00DE1116" w:rsidP="00DA2844">
      <w:pPr>
        <w:spacing w:after="120"/>
        <w:rPr>
          <w:rFonts w:ascii="Arial" w:hAnsi="Arial" w:cs="Arial"/>
          <w:b/>
          <w:sz w:val="20"/>
          <w:szCs w:val="20"/>
        </w:rPr>
      </w:pPr>
      <w:r w:rsidRPr="00797DD7">
        <w:rPr>
          <w:rFonts w:ascii="Arial" w:hAnsi="Arial" w:cs="Arial"/>
          <w:b/>
          <w:sz w:val="20"/>
          <w:szCs w:val="20"/>
        </w:rPr>
        <w:t>Bảng 1b</w:t>
      </w:r>
    </w:p>
    <w:p w14:paraId="6ED9DE09" w14:textId="24FAEB0A" w:rsidR="00DE1116" w:rsidRPr="00797DD7" w:rsidRDefault="00601F83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FB7D1BD" wp14:editId="2FAD4348">
            <wp:extent cx="5920740" cy="7048500"/>
            <wp:effectExtent l="19050" t="19050" r="381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7048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727E04D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</w:p>
    <w:p w14:paraId="0FD4CC82" w14:textId="77777777" w:rsidR="00DE1116" w:rsidRPr="00797DD7" w:rsidRDefault="00DE1116" w:rsidP="00DA2844">
      <w:pPr>
        <w:spacing w:after="120"/>
        <w:rPr>
          <w:rFonts w:ascii="Arial" w:hAnsi="Arial" w:cs="Arial"/>
          <w:b/>
          <w:sz w:val="20"/>
          <w:szCs w:val="20"/>
        </w:rPr>
      </w:pPr>
      <w:r w:rsidRPr="00797DD7">
        <w:rPr>
          <w:rFonts w:ascii="Arial" w:hAnsi="Arial" w:cs="Arial"/>
          <w:b/>
          <w:sz w:val="20"/>
          <w:szCs w:val="20"/>
        </w:rPr>
        <w:t>Bảng 1c</w:t>
      </w:r>
    </w:p>
    <w:p w14:paraId="71B6453B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</w:p>
    <w:p w14:paraId="788AD680" w14:textId="2C2CA632" w:rsidR="00DE1116" w:rsidRPr="00797DD7" w:rsidRDefault="00601F83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69F6026B" wp14:editId="521C8BD1">
            <wp:extent cx="5920740" cy="4312920"/>
            <wp:effectExtent l="19050" t="19050" r="381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43129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153E643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</w:p>
    <w:p w14:paraId="0AB55243" w14:textId="77777777" w:rsidR="00DE1116" w:rsidRPr="00797DD7" w:rsidRDefault="00DE1116" w:rsidP="00DA2844">
      <w:pPr>
        <w:spacing w:after="120"/>
        <w:rPr>
          <w:rFonts w:ascii="Arial" w:hAnsi="Arial" w:cs="Arial"/>
          <w:b/>
          <w:sz w:val="20"/>
          <w:szCs w:val="20"/>
        </w:rPr>
      </w:pPr>
      <w:r w:rsidRPr="00797DD7">
        <w:rPr>
          <w:rFonts w:ascii="Arial" w:hAnsi="Arial" w:cs="Arial"/>
          <w:b/>
          <w:sz w:val="20"/>
          <w:szCs w:val="20"/>
        </w:rPr>
        <w:t>Bảng 2</w:t>
      </w:r>
    </w:p>
    <w:p w14:paraId="69219779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</w:p>
    <w:p w14:paraId="48BCFF12" w14:textId="4642FE68" w:rsidR="00DE1116" w:rsidRPr="00797DD7" w:rsidRDefault="00601F83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DC7BD02" wp14:editId="67AF2C4A">
            <wp:extent cx="5920740" cy="377952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22C4F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</w:p>
    <w:p w14:paraId="23BA9337" w14:textId="77777777" w:rsidR="00DE1116" w:rsidRPr="00797DD7" w:rsidRDefault="00DE1116" w:rsidP="00DA2844">
      <w:pPr>
        <w:spacing w:after="120"/>
        <w:rPr>
          <w:rFonts w:ascii="Arial" w:hAnsi="Arial" w:cs="Arial"/>
          <w:b/>
          <w:sz w:val="20"/>
          <w:szCs w:val="20"/>
        </w:rPr>
      </w:pPr>
      <w:r w:rsidRPr="00797DD7">
        <w:rPr>
          <w:rFonts w:ascii="Arial" w:hAnsi="Arial" w:cs="Arial"/>
          <w:b/>
          <w:sz w:val="20"/>
          <w:szCs w:val="20"/>
        </w:rPr>
        <w:t>Bảng 3</w:t>
      </w:r>
    </w:p>
    <w:p w14:paraId="47AE6784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</w:p>
    <w:p w14:paraId="08C6182F" w14:textId="7C14B6CC" w:rsidR="00DE1116" w:rsidRPr="00797DD7" w:rsidRDefault="00601F83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2AAAC0D" wp14:editId="5E624C44">
            <wp:extent cx="5867400" cy="262128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A85C3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</w:p>
    <w:p w14:paraId="6D0A56A4" w14:textId="77777777" w:rsidR="00DE1116" w:rsidRPr="00797DD7" w:rsidRDefault="00DE1116" w:rsidP="00DA2844">
      <w:pPr>
        <w:spacing w:after="120"/>
        <w:rPr>
          <w:rFonts w:ascii="Arial" w:hAnsi="Arial" w:cs="Arial"/>
          <w:b/>
          <w:sz w:val="20"/>
          <w:szCs w:val="20"/>
        </w:rPr>
      </w:pPr>
      <w:r w:rsidRPr="00797DD7">
        <w:rPr>
          <w:rFonts w:ascii="Arial" w:hAnsi="Arial" w:cs="Arial"/>
          <w:b/>
          <w:sz w:val="20"/>
          <w:szCs w:val="20"/>
        </w:rPr>
        <w:t>Bảng 4</w:t>
      </w:r>
    </w:p>
    <w:p w14:paraId="40AAB263" w14:textId="77777777" w:rsidR="00DE1116" w:rsidRPr="00797DD7" w:rsidRDefault="00DE1116" w:rsidP="00DA2844">
      <w:pPr>
        <w:spacing w:after="120"/>
        <w:rPr>
          <w:rFonts w:ascii="Arial" w:hAnsi="Arial" w:cs="Arial"/>
          <w:sz w:val="20"/>
          <w:szCs w:val="20"/>
        </w:rPr>
      </w:pPr>
    </w:p>
    <w:p w14:paraId="6F8A4D83" w14:textId="45133410" w:rsidR="00DE1116" w:rsidRPr="00797DD7" w:rsidRDefault="00601F83" w:rsidP="00DA2844">
      <w:pPr>
        <w:spacing w:after="120"/>
        <w:rPr>
          <w:rFonts w:ascii="Arial" w:hAnsi="Arial" w:cs="Arial"/>
          <w:sz w:val="20"/>
          <w:szCs w:val="20"/>
        </w:rPr>
      </w:pPr>
      <w:r w:rsidRPr="00797DD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973CA6" wp14:editId="6E22B8AA">
            <wp:extent cx="5913120" cy="473964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C9AB8" w14:textId="77777777" w:rsidR="00E50DE8" w:rsidRPr="00797DD7" w:rsidRDefault="00E50DE8" w:rsidP="00DA2844">
      <w:pPr>
        <w:spacing w:after="120"/>
        <w:rPr>
          <w:rFonts w:ascii="Arial" w:hAnsi="Arial" w:cs="Arial"/>
          <w:sz w:val="20"/>
          <w:szCs w:val="20"/>
        </w:rPr>
      </w:pPr>
    </w:p>
    <w:sectPr w:rsidR="00E50DE8" w:rsidRPr="00797DD7" w:rsidSect="00A025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EA7CA" w14:textId="77777777" w:rsidR="00A02542" w:rsidRDefault="00A02542">
      <w:r>
        <w:separator/>
      </w:r>
    </w:p>
  </w:endnote>
  <w:endnote w:type="continuationSeparator" w:id="0">
    <w:p w14:paraId="1BA2369F" w14:textId="77777777" w:rsidR="00A02542" w:rsidRDefault="00A0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73534" w14:textId="77777777" w:rsidR="00924F76" w:rsidRDefault="00924F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263A7" w14:textId="77777777" w:rsidR="00924F76" w:rsidRDefault="00924F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32BF" w14:textId="77777777" w:rsidR="00924F76" w:rsidRDefault="00924F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BE919" w14:textId="77777777" w:rsidR="00A02542" w:rsidRDefault="00A02542">
      <w:r>
        <w:separator/>
      </w:r>
    </w:p>
  </w:footnote>
  <w:footnote w:type="continuationSeparator" w:id="0">
    <w:p w14:paraId="0712B171" w14:textId="77777777" w:rsidR="00A02542" w:rsidRDefault="00A02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912E4" w14:textId="77777777" w:rsidR="00924F76" w:rsidRDefault="00924F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8A123" w14:textId="77777777" w:rsidR="00924F76" w:rsidRDefault="00924F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2B9CE" w14:textId="77777777" w:rsidR="00924F76" w:rsidRDefault="00924F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556A"/>
    <w:multiLevelType w:val="multilevel"/>
    <w:tmpl w:val="4E7E8D7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6820149"/>
    <w:multiLevelType w:val="hybridMultilevel"/>
    <w:tmpl w:val="49BD944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101613"/>
    <w:multiLevelType w:val="multilevel"/>
    <w:tmpl w:val="4E7E8D7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90825CB"/>
    <w:multiLevelType w:val="hybridMultilevel"/>
    <w:tmpl w:val="3D4E5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6C68A7"/>
    <w:multiLevelType w:val="hybridMultilevel"/>
    <w:tmpl w:val="DB84CF13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suff w:val="nothing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F3170F3"/>
    <w:multiLevelType w:val="hybridMultilevel"/>
    <w:tmpl w:val="BBFC5F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14"/>
    <w:rsid w:val="001C23BA"/>
    <w:rsid w:val="003823C7"/>
    <w:rsid w:val="00601F83"/>
    <w:rsid w:val="0071417A"/>
    <w:rsid w:val="00797DD7"/>
    <w:rsid w:val="00924F76"/>
    <w:rsid w:val="009B1A91"/>
    <w:rsid w:val="00A02542"/>
    <w:rsid w:val="00BB6EAE"/>
    <w:rsid w:val="00BE53B9"/>
    <w:rsid w:val="00C930D2"/>
    <w:rsid w:val="00D06F9A"/>
    <w:rsid w:val="00D14914"/>
    <w:rsid w:val="00DA2844"/>
    <w:rsid w:val="00DE1116"/>
    <w:rsid w:val="00E50DE8"/>
    <w:rsid w:val="00F00E17"/>
    <w:rsid w:val="00FC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D9B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.VnTimeH" w:hAnsi=".VnTimeH" w:cs=".VnTimeH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35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275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26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266" w:lineRule="atLeast"/>
    </w:pPr>
    <w:rPr>
      <w:rFonts w:cs="Times New Roman"/>
      <w:color w:val="auto"/>
    </w:rPr>
  </w:style>
  <w:style w:type="paragraph" w:styleId="Header">
    <w:name w:val="header"/>
    <w:basedOn w:val="Normal"/>
    <w:rsid w:val="00BE53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53B9"/>
    <w:pPr>
      <w:tabs>
        <w:tab w:val="center" w:pos="4320"/>
        <w:tab w:val="right" w:pos="8640"/>
      </w:tabs>
    </w:pPr>
  </w:style>
  <w:style w:type="paragraph" w:customStyle="1" w:styleId="CharCharChar">
    <w:name w:val="Char Char Char"/>
    <w:basedOn w:val="Normal"/>
    <w:next w:val="Normal"/>
    <w:autoRedefine/>
    <w:semiHidden/>
    <w:rsid w:val="00DA2844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.VnTimeH" w:hAnsi=".VnTimeH" w:cs=".VnTimeH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35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275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26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266" w:lineRule="atLeast"/>
    </w:pPr>
    <w:rPr>
      <w:rFonts w:cs="Times New Roman"/>
      <w:color w:val="auto"/>
    </w:rPr>
  </w:style>
  <w:style w:type="paragraph" w:styleId="Header">
    <w:name w:val="header"/>
    <w:basedOn w:val="Normal"/>
    <w:rsid w:val="00BE53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53B9"/>
    <w:pPr>
      <w:tabs>
        <w:tab w:val="center" w:pos="4320"/>
        <w:tab w:val="right" w:pos="8640"/>
      </w:tabs>
    </w:pPr>
  </w:style>
  <w:style w:type="paragraph" w:customStyle="1" w:styleId="CharCharChar">
    <w:name w:val="Char Char Char"/>
    <w:basedOn w:val="Normal"/>
    <w:next w:val="Normal"/>
    <w:autoRedefine/>
    <w:semiHidden/>
    <w:rsid w:val="00DA2844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494</Words>
  <Characters>1753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TCXDVN</vt:lpstr>
    </vt:vector>
  </TitlesOfParts>
  <Company>CGDNN-BXD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TCXDVN</dc:title>
  <dc:subject/>
  <dc:creator>Administrator</dc:creator>
  <cp:keywords/>
  <dc:description/>
  <cp:lastModifiedBy>wordprocess</cp:lastModifiedBy>
  <cp:revision>4</cp:revision>
  <dcterms:created xsi:type="dcterms:W3CDTF">2024-02-27T03:10:00Z</dcterms:created>
  <dcterms:modified xsi:type="dcterms:W3CDTF">2024-02-27T03:09:00Z</dcterms:modified>
</cp:coreProperties>
</file>